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</w:rPr>
        <w:drawing>
          <wp:inline distB="114300" distT="114300" distL="114300" distR="114300">
            <wp:extent cx="2486025" cy="64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33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br w:type="textWrapping"/>
        <w:t xml:space="preserve">Health and PE FAQs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Does everyone have to take Health and PE?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Yes, all students are required to take one semester of Health (typically freshmen year) and a physical education class during all other semesters.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What PE classes are offered?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We offer Fr/Soph PE, Jr/Sr PE, Personal Fitness, Athletic Weight Lifting, and PE Partners. One semester of Fr/Soph PE is required before taking Personal Fitness, Athletic Weight Lifting, or PE Partners.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Can a student be exempt from PE?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There are a few situations when students can be exempt from PE. Students in marching band can take a PE exemption during the fall semester. Sophomore, junior, and senior athletes can take a PE exemption during the semester in which their sport is being played.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Is there a required PE uniform?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We do require that students wear the MHS PE shirt. It can be purchased directly from your PE teacher or you can order it online through the e-funds account. Students must also wear appropriate athletic shorts or pants and tennis shoes.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  <w:t xml:space="preserve">    </w:t>
      </w:r>
    </w:p>
    <w:p w:rsidR="00000000" w:rsidDel="00000000" w:rsidP="00000000" w:rsidRDefault="00000000" w:rsidRPr="00000000" w14:paraId="0000000B">
      <w:pPr>
        <w:ind w:left="72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